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8E526" w14:textId="77777777" w:rsidR="008D0E09" w:rsidRPr="00E944BA" w:rsidRDefault="008D0E09" w:rsidP="008D0E09">
      <w:pPr>
        <w:pStyle w:val="Heading2"/>
        <w:keepNext w:val="0"/>
        <w:keepLines w:val="0"/>
        <w:tabs>
          <w:tab w:val="left" w:pos="4166"/>
        </w:tabs>
        <w:spacing w:before="0" w:after="120" w:line="259" w:lineRule="auto"/>
        <w:rPr>
          <w:rFonts w:ascii="Times New Roman" w:eastAsiaTheme="minorHAnsi" w:hAnsi="Times New Roman" w:cs="Times New Roman"/>
          <w:bCs w:val="0"/>
          <w:color w:val="auto"/>
          <w:sz w:val="24"/>
          <w:szCs w:val="24"/>
        </w:rPr>
      </w:pPr>
      <w:r w:rsidRPr="00E944BA">
        <w:rPr>
          <w:rFonts w:ascii="Times New Roman" w:eastAsiaTheme="minorHAnsi" w:hAnsi="Times New Roman" w:cs="Times New Roman"/>
          <w:bCs w:val="0"/>
          <w:color w:val="auto"/>
          <w:sz w:val="24"/>
          <w:szCs w:val="24"/>
        </w:rPr>
        <w:t>RENT COLLECTION POLICY</w:t>
      </w:r>
    </w:p>
    <w:p w14:paraId="067BB275" w14:textId="005EF00A" w:rsidR="008D0E09" w:rsidRDefault="008D0E09" w:rsidP="0090629F">
      <w:pPr>
        <w:spacing w:after="240" w:line="259" w:lineRule="auto"/>
        <w:jc w:val="both"/>
        <w:rPr>
          <w:rFonts w:ascii="Times New Roman" w:hAnsi="Times New Roman" w:cs="Times New Roman"/>
        </w:rPr>
      </w:pPr>
      <w:r w:rsidRPr="008D5275">
        <w:rPr>
          <w:rFonts w:ascii="Times New Roman" w:hAnsi="Times New Roman" w:cs="Times New Roman"/>
        </w:rPr>
        <w:t xml:space="preserve">This policy establishes the policy and procedures for the collection of rent and other charges; late charges and return check assessment; and rent collection processing, reconciliation, and monitoring.  Collection of tenant charges is important to the viability of a project.  Without a high and timely tenant rent collection rate, a project may not </w:t>
      </w:r>
      <w:r>
        <w:rPr>
          <w:rFonts w:ascii="Times New Roman" w:hAnsi="Times New Roman" w:cs="Times New Roman"/>
        </w:rPr>
        <w:t xml:space="preserve">have </w:t>
      </w:r>
      <w:r w:rsidRPr="008D5275">
        <w:rPr>
          <w:rFonts w:ascii="Times New Roman" w:hAnsi="Times New Roman" w:cs="Times New Roman"/>
        </w:rPr>
        <w:t>cash flow.  As a result, the PHA must reduce costs which may result in adequate maintenance and the accelerated deterioration of the property</w:t>
      </w:r>
      <w:r>
        <w:rPr>
          <w:rFonts w:ascii="Times New Roman" w:hAnsi="Times New Roman" w:cs="Times New Roman"/>
        </w:rPr>
        <w:t>.</w:t>
      </w:r>
    </w:p>
    <w:p w14:paraId="5279E933" w14:textId="77777777" w:rsidR="008D0E09" w:rsidRDefault="008D0E09" w:rsidP="0090629F">
      <w:pPr>
        <w:spacing w:after="240" w:line="259" w:lineRule="auto"/>
        <w:jc w:val="both"/>
        <w:rPr>
          <w:rFonts w:ascii="Times New Roman" w:hAnsi="Times New Roman" w:cs="Times New Roman"/>
        </w:rPr>
      </w:pPr>
      <w:r w:rsidRPr="008D5275">
        <w:rPr>
          <w:rFonts w:ascii="Times New Roman" w:hAnsi="Times New Roman" w:cs="Times New Roman"/>
        </w:rPr>
        <w:t>It is the policy of the PHA to actively pursue timely and full collection of tenant charges due.  Collection of tenant charges will be used to support the projects/program from which the charge occurred.  Cash may not be accepted as a form of payment</w:t>
      </w:r>
      <w:r>
        <w:rPr>
          <w:rFonts w:ascii="Times New Roman" w:hAnsi="Times New Roman" w:cs="Times New Roman"/>
        </w:rPr>
        <w:t>.</w:t>
      </w:r>
    </w:p>
    <w:p w14:paraId="29F43A4C" w14:textId="77777777" w:rsidR="008D0E09" w:rsidRPr="00640570" w:rsidRDefault="008D0E09" w:rsidP="0090629F">
      <w:pPr>
        <w:spacing w:after="240" w:line="259" w:lineRule="auto"/>
        <w:jc w:val="both"/>
        <w:rPr>
          <w:rFonts w:ascii="Times New Roman" w:hAnsi="Times New Roman" w:cs="Times New Roman"/>
        </w:rPr>
      </w:pPr>
      <w:r w:rsidRPr="008D5275">
        <w:rPr>
          <w:rFonts w:ascii="Times New Roman" w:hAnsi="Times New Roman" w:cs="Times New Roman"/>
        </w:rPr>
        <w:t>This policy applies to all programs of the PHA for which tenant charges are collected.  This rent collection policy should be read in conjunction with the following policies: 1) write-off and 2) tenant accounts receivable (TAR) processing.</w:t>
      </w:r>
    </w:p>
    <w:p w14:paraId="196D3740" w14:textId="77777777" w:rsidR="008D0E09" w:rsidRPr="00E944BA" w:rsidRDefault="008D0E09" w:rsidP="008D0E09">
      <w:pPr>
        <w:pStyle w:val="Heading2"/>
        <w:keepNext w:val="0"/>
        <w:keepLines w:val="0"/>
        <w:tabs>
          <w:tab w:val="left" w:pos="4166"/>
        </w:tabs>
        <w:spacing w:before="0" w:after="120" w:line="259" w:lineRule="auto"/>
        <w:rPr>
          <w:rFonts w:ascii="Times New Roman" w:eastAsiaTheme="minorHAnsi" w:hAnsi="Times New Roman" w:cs="Times New Roman"/>
          <w:bCs w:val="0"/>
          <w:color w:val="auto"/>
          <w:sz w:val="24"/>
          <w:szCs w:val="24"/>
        </w:rPr>
      </w:pPr>
      <w:r w:rsidRPr="00E944BA">
        <w:rPr>
          <w:rFonts w:ascii="Times New Roman" w:eastAsiaTheme="minorHAnsi" w:hAnsi="Times New Roman" w:cs="Times New Roman"/>
          <w:bCs w:val="0"/>
          <w:color w:val="auto"/>
          <w:sz w:val="24"/>
          <w:szCs w:val="24"/>
        </w:rPr>
        <w:t>RENT COLLECTION PROCEDURES</w:t>
      </w:r>
    </w:p>
    <w:p w14:paraId="0DED4A3A" w14:textId="77777777" w:rsidR="008D0E09" w:rsidRPr="00DB786F" w:rsidRDefault="008D0E09" w:rsidP="008D0E09">
      <w:pPr>
        <w:spacing w:after="120" w:line="259" w:lineRule="auto"/>
        <w:jc w:val="left"/>
        <w:rPr>
          <w:rFonts w:ascii="Times New Roman" w:hAnsi="Times New Roman" w:cs="Times New Roman"/>
          <w:bCs/>
        </w:rPr>
      </w:pPr>
      <w:r w:rsidRPr="00DB786F">
        <w:rPr>
          <w:rFonts w:ascii="Times New Roman" w:hAnsi="Times New Roman" w:cs="Times New Roman"/>
          <w:bCs/>
        </w:rPr>
        <w:t xml:space="preserve">The </w:t>
      </w:r>
      <w:r w:rsidRPr="00E944BA">
        <w:rPr>
          <w:rFonts w:ascii="Times New Roman" w:hAnsi="Times New Roman" w:cs="Times New Roman"/>
        </w:rPr>
        <w:t>following</w:t>
      </w:r>
      <w:r w:rsidRPr="00DB786F">
        <w:rPr>
          <w:rFonts w:ascii="Times New Roman" w:hAnsi="Times New Roman" w:cs="Times New Roman"/>
          <w:bCs/>
        </w:rPr>
        <w:t xml:space="preserve"> rent collection procedures are described below.</w:t>
      </w:r>
    </w:p>
    <w:p w14:paraId="63453A7B" w14:textId="77777777" w:rsidR="008D0E09" w:rsidRPr="000F6A25" w:rsidRDefault="008D0E09" w:rsidP="008D0E09">
      <w:pPr>
        <w:pStyle w:val="ListParagraph"/>
        <w:numPr>
          <w:ilvl w:val="0"/>
          <w:numId w:val="4"/>
        </w:numPr>
        <w:spacing w:before="60" w:after="60" w:line="259" w:lineRule="auto"/>
        <w:contextualSpacing w:val="0"/>
        <w:rPr>
          <w:rFonts w:ascii="Times New Roman" w:hAnsi="Times New Roman" w:cs="Times New Roman"/>
          <w:bCs/>
        </w:rPr>
      </w:pPr>
      <w:r w:rsidRPr="000F6A25">
        <w:rPr>
          <w:rFonts w:ascii="Times New Roman" w:hAnsi="Times New Roman" w:cs="Times New Roman"/>
          <w:bCs/>
        </w:rPr>
        <w:t>Collection of rent and other tenant charges,</w:t>
      </w:r>
    </w:p>
    <w:p w14:paraId="71E16F5A" w14:textId="77777777" w:rsidR="008D0E09" w:rsidRPr="000F6A25" w:rsidRDefault="008D0E09" w:rsidP="008D0E09">
      <w:pPr>
        <w:pStyle w:val="ListParagraph"/>
        <w:numPr>
          <w:ilvl w:val="0"/>
          <w:numId w:val="4"/>
        </w:numPr>
        <w:spacing w:before="60" w:after="60" w:line="259" w:lineRule="auto"/>
        <w:contextualSpacing w:val="0"/>
        <w:rPr>
          <w:rFonts w:ascii="Times New Roman" w:hAnsi="Times New Roman" w:cs="Times New Roman"/>
          <w:bCs/>
        </w:rPr>
      </w:pPr>
      <w:r w:rsidRPr="000F6A25">
        <w:rPr>
          <w:rFonts w:ascii="Times New Roman" w:hAnsi="Times New Roman" w:cs="Times New Roman"/>
          <w:bCs/>
        </w:rPr>
        <w:t>Late payment of rent and return check charges,</w:t>
      </w:r>
    </w:p>
    <w:p w14:paraId="7079B465" w14:textId="77777777" w:rsidR="008D0E09" w:rsidRPr="000F6A25" w:rsidRDefault="008D0E09" w:rsidP="008D0E09">
      <w:pPr>
        <w:pStyle w:val="ListParagraph"/>
        <w:numPr>
          <w:ilvl w:val="0"/>
          <w:numId w:val="4"/>
        </w:numPr>
        <w:spacing w:before="60" w:after="60" w:line="259" w:lineRule="auto"/>
        <w:contextualSpacing w:val="0"/>
        <w:rPr>
          <w:rFonts w:ascii="Times New Roman" w:hAnsi="Times New Roman" w:cs="Times New Roman"/>
          <w:bCs/>
        </w:rPr>
      </w:pPr>
      <w:r w:rsidRPr="000F6A25">
        <w:rPr>
          <w:rFonts w:ascii="Times New Roman" w:hAnsi="Times New Roman" w:cs="Times New Roman"/>
          <w:bCs/>
        </w:rPr>
        <w:t>Rent collection processing, and</w:t>
      </w:r>
    </w:p>
    <w:p w14:paraId="080A8BB1" w14:textId="77777777" w:rsidR="008D0E09" w:rsidRPr="000F6A25" w:rsidRDefault="008D0E09" w:rsidP="008D0E09">
      <w:pPr>
        <w:pStyle w:val="ListParagraph"/>
        <w:numPr>
          <w:ilvl w:val="0"/>
          <w:numId w:val="4"/>
        </w:numPr>
        <w:spacing w:before="60" w:after="240" w:line="259" w:lineRule="auto"/>
        <w:contextualSpacing w:val="0"/>
        <w:rPr>
          <w:rFonts w:ascii="Times New Roman" w:hAnsi="Times New Roman" w:cs="Times New Roman"/>
          <w:bCs/>
        </w:rPr>
      </w:pPr>
      <w:r w:rsidRPr="000F6A25">
        <w:rPr>
          <w:rFonts w:ascii="Times New Roman" w:hAnsi="Times New Roman" w:cs="Times New Roman"/>
          <w:bCs/>
        </w:rPr>
        <w:t>Rent collection monitoring and reconciliation.</w:t>
      </w:r>
    </w:p>
    <w:p w14:paraId="179DC8AA" w14:textId="77777777" w:rsidR="008D0E09" w:rsidRPr="00E944BA" w:rsidRDefault="008D0E09" w:rsidP="008D0E09">
      <w:pPr>
        <w:pStyle w:val="Heading3"/>
      </w:pPr>
      <w:r>
        <w:t>Collection of Rent and Other Tenant Charges</w:t>
      </w:r>
    </w:p>
    <w:p w14:paraId="1B27E08D" w14:textId="77777777" w:rsidR="008D0E09" w:rsidRPr="00DB786F" w:rsidRDefault="008D0E09" w:rsidP="008D0E09">
      <w:pPr>
        <w:spacing w:after="120" w:line="259" w:lineRule="auto"/>
        <w:jc w:val="left"/>
        <w:rPr>
          <w:rFonts w:ascii="Times New Roman" w:hAnsi="Times New Roman" w:cs="Times New Roman"/>
          <w:bCs/>
        </w:rPr>
      </w:pPr>
      <w:r w:rsidRPr="00DB786F">
        <w:rPr>
          <w:rFonts w:ascii="Times New Roman" w:hAnsi="Times New Roman" w:cs="Times New Roman"/>
          <w:bCs/>
        </w:rPr>
        <w:t xml:space="preserve">The </w:t>
      </w:r>
      <w:r w:rsidRPr="00E944BA">
        <w:rPr>
          <w:rFonts w:ascii="Times New Roman" w:hAnsi="Times New Roman" w:cs="Times New Roman"/>
        </w:rPr>
        <w:t>following</w:t>
      </w:r>
      <w:r w:rsidRPr="00DB786F">
        <w:rPr>
          <w:rFonts w:ascii="Times New Roman" w:hAnsi="Times New Roman" w:cs="Times New Roman"/>
          <w:bCs/>
        </w:rPr>
        <w:t xml:space="preserve"> procedures will be used for the collection of rent and other tenant charges.</w:t>
      </w:r>
    </w:p>
    <w:p w14:paraId="63DE3CF0" w14:textId="77777777" w:rsidR="008D0E09" w:rsidRPr="00DB786F" w:rsidRDefault="008D0E09" w:rsidP="008D0E09">
      <w:pPr>
        <w:pStyle w:val="ListParagraph"/>
        <w:numPr>
          <w:ilvl w:val="0"/>
          <w:numId w:val="5"/>
        </w:numPr>
        <w:spacing w:before="60" w:after="60" w:line="259" w:lineRule="auto"/>
        <w:rPr>
          <w:rFonts w:ascii="Times New Roman" w:hAnsi="Times New Roman" w:cs="Times New Roman"/>
          <w:b/>
          <w:bCs/>
          <w:sz w:val="24"/>
          <w:szCs w:val="24"/>
        </w:rPr>
      </w:pPr>
      <w:r w:rsidRPr="00DB786F">
        <w:rPr>
          <w:rFonts w:ascii="Times New Roman" w:hAnsi="Times New Roman" w:cs="Times New Roman"/>
        </w:rPr>
        <w:t>The initial payment (rent and security deposit) that the tenant makes when moving into the unit is to be made at the main office.</w:t>
      </w:r>
    </w:p>
    <w:p w14:paraId="5FD4BA79" w14:textId="77777777" w:rsidR="008D0E09" w:rsidRDefault="008D0E09" w:rsidP="008D0E09">
      <w:pPr>
        <w:pStyle w:val="ListParagraph"/>
        <w:numPr>
          <w:ilvl w:val="0"/>
          <w:numId w:val="5"/>
        </w:numPr>
        <w:spacing w:before="60" w:after="60" w:line="259" w:lineRule="auto"/>
        <w:rPr>
          <w:rFonts w:ascii="Times New Roman" w:hAnsi="Times New Roman" w:cs="Times New Roman"/>
        </w:rPr>
      </w:pPr>
      <w:r w:rsidRPr="00DB786F">
        <w:rPr>
          <w:rFonts w:ascii="Times New Roman" w:hAnsi="Times New Roman" w:cs="Times New Roman"/>
        </w:rPr>
        <w:t>Subsequent rent payments, and other charges if applicable, are due and payable in advance, without notice, on the first day of the month</w:t>
      </w:r>
      <w:r>
        <w:rPr>
          <w:rFonts w:ascii="Times New Roman" w:hAnsi="Times New Roman" w:cs="Times New Roman"/>
        </w:rPr>
        <w:t>.</w:t>
      </w:r>
    </w:p>
    <w:p w14:paraId="7F029463" w14:textId="078864DE" w:rsidR="008D0E09" w:rsidRPr="00582CE6" w:rsidRDefault="0090629F" w:rsidP="0090629F">
      <w:pPr>
        <w:pStyle w:val="ListParagraph"/>
        <w:numPr>
          <w:ilvl w:val="0"/>
          <w:numId w:val="5"/>
        </w:numPr>
        <w:spacing w:before="60" w:after="240" w:line="259" w:lineRule="auto"/>
        <w:contextualSpacing w:val="0"/>
        <w:jc w:val="both"/>
        <w:rPr>
          <w:rFonts w:ascii="Times New Roman" w:hAnsi="Times New Roman" w:cs="Times New Roman"/>
          <w:b/>
          <w:bCs/>
          <w:sz w:val="24"/>
          <w:szCs w:val="24"/>
        </w:rPr>
      </w:pPr>
      <w:r>
        <w:rPr>
          <w:rFonts w:ascii="Times New Roman" w:hAnsi="Times New Roman" w:cs="Times New Roman"/>
        </w:rPr>
        <w:t xml:space="preserve">The </w:t>
      </w:r>
      <w:r w:rsidRPr="00582CE6">
        <w:rPr>
          <w:rFonts w:ascii="Times New Roman" w:hAnsi="Times New Roman" w:cs="Times New Roman"/>
        </w:rPr>
        <w:t>initial payment</w:t>
      </w:r>
      <w:r w:rsidR="008D0E09" w:rsidRPr="00582CE6">
        <w:rPr>
          <w:rFonts w:ascii="Times New Roman" w:hAnsi="Times New Roman" w:cs="Times New Roman"/>
        </w:rPr>
        <w:t xml:space="preserve"> must be made by check, money order, or certified cashier check.  No cash payments will be accepted. A sign will be listed for public </w:t>
      </w:r>
      <w:r>
        <w:rPr>
          <w:rFonts w:ascii="Times New Roman" w:hAnsi="Times New Roman" w:cs="Times New Roman"/>
        </w:rPr>
        <w:t xml:space="preserve">viewing at the office stating, </w:t>
      </w:r>
      <w:r w:rsidR="008D0E09" w:rsidRPr="00582CE6">
        <w:rPr>
          <w:rFonts w:ascii="Times New Roman" w:hAnsi="Times New Roman" w:cs="Times New Roman"/>
        </w:rPr>
        <w:t>“No Cash Payments Will Be Accepted”.</w:t>
      </w:r>
    </w:p>
    <w:p w14:paraId="21039167" w14:textId="77777777" w:rsidR="008D0E09" w:rsidRPr="00E944BA" w:rsidRDefault="008D0E09" w:rsidP="008D0E09">
      <w:pPr>
        <w:pStyle w:val="Heading3"/>
      </w:pPr>
      <w:r>
        <w:t>Late Payment of Rent and Return Check Charges</w:t>
      </w:r>
    </w:p>
    <w:p w14:paraId="20EDE493" w14:textId="16925305" w:rsidR="008D0E09" w:rsidRPr="00582CE6" w:rsidRDefault="008D0E09" w:rsidP="0090629F">
      <w:pPr>
        <w:spacing w:after="120" w:line="259" w:lineRule="auto"/>
        <w:jc w:val="both"/>
        <w:rPr>
          <w:rFonts w:ascii="Times New Roman" w:hAnsi="Times New Roman" w:cs="Times New Roman"/>
        </w:rPr>
      </w:pPr>
      <w:r>
        <w:rPr>
          <w:rFonts w:ascii="Times New Roman" w:hAnsi="Times New Roman" w:cs="Times New Roman"/>
        </w:rPr>
        <w:t>Late charges and return check charges will be processed based on the procedures outlined below.  The PHA’s Admissions and Occupancy Plan (ACOP) provides the amount that will be assessed for late payment of rent and checks returned because of insufficient funds.</w:t>
      </w:r>
    </w:p>
    <w:p w14:paraId="6166B22B" w14:textId="05385821" w:rsidR="008D0E09" w:rsidRDefault="008D0E09" w:rsidP="008D0E09">
      <w:pPr>
        <w:pStyle w:val="ListParagraph"/>
        <w:numPr>
          <w:ilvl w:val="0"/>
          <w:numId w:val="1"/>
        </w:numPr>
        <w:spacing w:before="60" w:after="60" w:line="259" w:lineRule="auto"/>
        <w:ind w:left="720"/>
        <w:contextualSpacing w:val="0"/>
        <w:rPr>
          <w:rFonts w:ascii="Times New Roman" w:hAnsi="Times New Roman" w:cs="Times New Roman"/>
        </w:rPr>
      </w:pPr>
      <w:r w:rsidRPr="00640570">
        <w:rPr>
          <w:rFonts w:ascii="Times New Roman" w:hAnsi="Times New Roman" w:cs="Times New Roman"/>
        </w:rPr>
        <w:t xml:space="preserve">A late charge of </w:t>
      </w:r>
      <w:r w:rsidRPr="00B22366">
        <w:rPr>
          <w:rFonts w:ascii="Times New Roman" w:hAnsi="Times New Roman" w:cs="Times New Roman"/>
        </w:rPr>
        <w:t>$</w:t>
      </w:r>
      <w:r w:rsidR="0090629F">
        <w:rPr>
          <w:rFonts w:ascii="Times New Roman" w:hAnsi="Times New Roman" w:cs="Times New Roman"/>
        </w:rPr>
        <w:t xml:space="preserve">20.00 </w:t>
      </w:r>
      <w:r>
        <w:rPr>
          <w:rFonts w:ascii="Times New Roman" w:hAnsi="Times New Roman" w:cs="Times New Roman"/>
        </w:rPr>
        <w:t xml:space="preserve">will be assessed to the tenant </w:t>
      </w:r>
      <w:r w:rsidRPr="00640570">
        <w:rPr>
          <w:rFonts w:ascii="Times New Roman" w:hAnsi="Times New Roman" w:cs="Times New Roman"/>
        </w:rPr>
        <w:t xml:space="preserve">for rent </w:t>
      </w:r>
      <w:r>
        <w:rPr>
          <w:rFonts w:ascii="Times New Roman" w:hAnsi="Times New Roman" w:cs="Times New Roman"/>
        </w:rPr>
        <w:t>and other payments</w:t>
      </w:r>
      <w:r w:rsidRPr="00640570">
        <w:rPr>
          <w:rFonts w:ascii="Times New Roman" w:hAnsi="Times New Roman" w:cs="Times New Roman"/>
        </w:rPr>
        <w:t xml:space="preserve"> not received by the close of business on the 10th day of the mont</w:t>
      </w:r>
      <w:r>
        <w:rPr>
          <w:rFonts w:ascii="Times New Roman" w:hAnsi="Times New Roman" w:cs="Times New Roman"/>
        </w:rPr>
        <w:t>h.</w:t>
      </w:r>
    </w:p>
    <w:p w14:paraId="3BCE0280" w14:textId="77777777" w:rsidR="008D0E09" w:rsidRDefault="008D0E09" w:rsidP="008D0E09">
      <w:pPr>
        <w:pStyle w:val="BodyText"/>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59" w:lineRule="auto"/>
        <w:ind w:left="720"/>
        <w:rPr>
          <w:rFonts w:eastAsiaTheme="minorHAnsi"/>
          <w:b w:val="0"/>
          <w:color w:val="auto"/>
          <w:sz w:val="22"/>
          <w:szCs w:val="22"/>
        </w:rPr>
      </w:pPr>
      <w:r w:rsidRPr="00640570">
        <w:rPr>
          <w:rFonts w:eastAsiaTheme="minorHAnsi"/>
          <w:b w:val="0"/>
          <w:color w:val="auto"/>
          <w:sz w:val="22"/>
          <w:szCs w:val="22"/>
        </w:rPr>
        <w:t xml:space="preserve">If the </w:t>
      </w:r>
      <w:r>
        <w:rPr>
          <w:rFonts w:eastAsiaTheme="minorHAnsi"/>
          <w:b w:val="0"/>
          <w:color w:val="auto"/>
          <w:sz w:val="22"/>
          <w:szCs w:val="22"/>
        </w:rPr>
        <w:t>t</w:t>
      </w:r>
      <w:r w:rsidRPr="00640570">
        <w:rPr>
          <w:rFonts w:eastAsiaTheme="minorHAnsi"/>
          <w:b w:val="0"/>
          <w:color w:val="auto"/>
          <w:sz w:val="22"/>
          <w:szCs w:val="22"/>
        </w:rPr>
        <w:t>enant fails to make payment for rent or other charges by the 10th of the month, a 14-</w:t>
      </w:r>
      <w:r>
        <w:rPr>
          <w:rFonts w:eastAsiaTheme="minorHAnsi"/>
          <w:b w:val="0"/>
          <w:color w:val="auto"/>
          <w:sz w:val="22"/>
          <w:szCs w:val="22"/>
        </w:rPr>
        <w:t>d</w:t>
      </w:r>
      <w:r w:rsidRPr="00640570">
        <w:rPr>
          <w:rFonts w:eastAsiaTheme="minorHAnsi"/>
          <w:b w:val="0"/>
          <w:color w:val="auto"/>
          <w:sz w:val="22"/>
          <w:szCs w:val="22"/>
        </w:rPr>
        <w:t xml:space="preserve">ay </w:t>
      </w:r>
      <w:r>
        <w:rPr>
          <w:rFonts w:eastAsiaTheme="minorHAnsi"/>
          <w:b w:val="0"/>
          <w:color w:val="auto"/>
          <w:sz w:val="22"/>
          <w:szCs w:val="22"/>
        </w:rPr>
        <w:t>n</w:t>
      </w:r>
      <w:r w:rsidRPr="00640570">
        <w:rPr>
          <w:rFonts w:eastAsiaTheme="minorHAnsi"/>
          <w:b w:val="0"/>
          <w:color w:val="auto"/>
          <w:sz w:val="22"/>
          <w:szCs w:val="22"/>
        </w:rPr>
        <w:t xml:space="preserve">otice to vacate will be issued to the </w:t>
      </w:r>
      <w:r>
        <w:rPr>
          <w:rFonts w:eastAsiaTheme="minorHAnsi"/>
          <w:b w:val="0"/>
          <w:color w:val="auto"/>
          <w:sz w:val="22"/>
          <w:szCs w:val="22"/>
        </w:rPr>
        <w:t>t</w:t>
      </w:r>
      <w:r w:rsidRPr="00640570">
        <w:rPr>
          <w:rFonts w:eastAsiaTheme="minorHAnsi"/>
          <w:b w:val="0"/>
          <w:color w:val="auto"/>
          <w:sz w:val="22"/>
          <w:szCs w:val="22"/>
        </w:rPr>
        <w:t>enant with a 14-day notice for failure to pay rent, demanding</w:t>
      </w:r>
      <w:r>
        <w:rPr>
          <w:rFonts w:eastAsiaTheme="minorHAnsi"/>
          <w:b w:val="0"/>
          <w:color w:val="auto"/>
          <w:sz w:val="22"/>
          <w:szCs w:val="22"/>
        </w:rPr>
        <w:t xml:space="preserve"> that</w:t>
      </w:r>
      <w:r w:rsidRPr="00640570">
        <w:rPr>
          <w:rFonts w:eastAsiaTheme="minorHAnsi"/>
          <w:b w:val="0"/>
          <w:color w:val="auto"/>
          <w:sz w:val="22"/>
          <w:szCs w:val="22"/>
        </w:rPr>
        <w:t xml:space="preserve"> payment</w:t>
      </w:r>
      <w:r>
        <w:rPr>
          <w:rFonts w:eastAsiaTheme="minorHAnsi"/>
          <w:b w:val="0"/>
          <w:color w:val="auto"/>
          <w:sz w:val="22"/>
          <w:szCs w:val="22"/>
        </w:rPr>
        <w:t xml:space="preserve"> be made in </w:t>
      </w:r>
      <w:r w:rsidRPr="00640570">
        <w:rPr>
          <w:rFonts w:eastAsiaTheme="minorHAnsi"/>
          <w:b w:val="0"/>
          <w:color w:val="auto"/>
          <w:sz w:val="22"/>
          <w:szCs w:val="22"/>
        </w:rPr>
        <w:t>full or the surrender of the premises at the expiration of the 14 days.</w:t>
      </w:r>
    </w:p>
    <w:p w14:paraId="6942AB09" w14:textId="1EFC6760" w:rsidR="008D0E09" w:rsidRPr="00640570" w:rsidRDefault="008D0E09" w:rsidP="008D0E09">
      <w:pPr>
        <w:pStyle w:val="ListParagraph"/>
        <w:numPr>
          <w:ilvl w:val="0"/>
          <w:numId w:val="1"/>
        </w:numPr>
        <w:spacing w:before="60" w:after="240" w:line="259" w:lineRule="auto"/>
        <w:ind w:left="720"/>
        <w:contextualSpacing w:val="0"/>
        <w:rPr>
          <w:rFonts w:ascii="Times New Roman" w:hAnsi="Times New Roman" w:cs="Times New Roman"/>
        </w:rPr>
      </w:pPr>
      <w:r w:rsidRPr="00640570">
        <w:rPr>
          <w:rFonts w:ascii="Times New Roman" w:hAnsi="Times New Roman" w:cs="Times New Roman"/>
        </w:rPr>
        <w:lastRenderedPageBreak/>
        <w:t xml:space="preserve">A charge will be assessed for checks returned for insufficient funds and the tenant will not be allowed to pay by personal check </w:t>
      </w:r>
      <w:r w:rsidRPr="00342CFC">
        <w:rPr>
          <w:rFonts w:ascii="Times New Roman" w:hAnsi="Times New Roman" w:cs="Times New Roman"/>
        </w:rPr>
        <w:t>for a period of 6 months.  A second occurrence of the tenant submitting an invalid check will result in the tenant being denied the privilege of paying by personal check for 1 year; a third invalid check will deny a tenant the privilege of paying by check indefinitely.</w:t>
      </w:r>
      <w:r>
        <w:rPr>
          <w:rFonts w:ascii="Times New Roman" w:hAnsi="Times New Roman" w:cs="Times New Roman"/>
        </w:rPr>
        <w:t xml:space="preserve">  </w:t>
      </w:r>
      <w:r w:rsidRPr="00640570">
        <w:rPr>
          <w:rFonts w:ascii="Times New Roman" w:hAnsi="Times New Roman" w:cs="Times New Roman"/>
        </w:rPr>
        <w:t xml:space="preserve">If </w:t>
      </w:r>
      <w:r>
        <w:rPr>
          <w:rFonts w:ascii="Times New Roman" w:hAnsi="Times New Roman" w:cs="Times New Roman"/>
        </w:rPr>
        <w:t xml:space="preserve">the </w:t>
      </w:r>
      <w:r w:rsidRPr="00640570">
        <w:rPr>
          <w:rFonts w:ascii="Times New Roman" w:hAnsi="Times New Roman" w:cs="Times New Roman"/>
        </w:rPr>
        <w:t xml:space="preserve">check is not honored by the close of business on the 10th day of the month, the rent will be considered </w:t>
      </w:r>
      <w:r w:rsidR="0090629F" w:rsidRPr="00640570">
        <w:rPr>
          <w:rFonts w:ascii="Times New Roman" w:hAnsi="Times New Roman" w:cs="Times New Roman"/>
        </w:rPr>
        <w:t>unpaid,</w:t>
      </w:r>
      <w:r w:rsidRPr="00640570">
        <w:rPr>
          <w:rFonts w:ascii="Times New Roman" w:hAnsi="Times New Roman" w:cs="Times New Roman"/>
        </w:rPr>
        <w:t xml:space="preserve"> and </w:t>
      </w:r>
      <w:r>
        <w:rPr>
          <w:rFonts w:ascii="Times New Roman" w:hAnsi="Times New Roman" w:cs="Times New Roman"/>
        </w:rPr>
        <w:t xml:space="preserve">the tenant is </w:t>
      </w:r>
      <w:r w:rsidRPr="00640570">
        <w:rPr>
          <w:rFonts w:ascii="Times New Roman" w:hAnsi="Times New Roman" w:cs="Times New Roman"/>
        </w:rPr>
        <w:t>subject to</w:t>
      </w:r>
      <w:r>
        <w:rPr>
          <w:rFonts w:ascii="Times New Roman" w:hAnsi="Times New Roman" w:cs="Times New Roman"/>
        </w:rPr>
        <w:t xml:space="preserve"> </w:t>
      </w:r>
      <w:r w:rsidRPr="00640570">
        <w:rPr>
          <w:rFonts w:ascii="Times New Roman" w:hAnsi="Times New Roman" w:cs="Times New Roman"/>
        </w:rPr>
        <w:t>late charge fees</w:t>
      </w:r>
      <w:r>
        <w:rPr>
          <w:rFonts w:ascii="Times New Roman" w:hAnsi="Times New Roman" w:cs="Times New Roman"/>
        </w:rPr>
        <w:t>.</w:t>
      </w:r>
    </w:p>
    <w:p w14:paraId="3DA85D80" w14:textId="77777777" w:rsidR="008D0E09" w:rsidRPr="00E944BA" w:rsidRDefault="008D0E09" w:rsidP="008D0E09">
      <w:pPr>
        <w:pStyle w:val="Heading3"/>
      </w:pPr>
      <w:r w:rsidRPr="00924EAE">
        <w:t>Rent Collection Processing</w:t>
      </w:r>
    </w:p>
    <w:p w14:paraId="7F17BA2F" w14:textId="77777777" w:rsidR="008D0E09" w:rsidRPr="00A11A99" w:rsidRDefault="008D0E09" w:rsidP="008D0E09">
      <w:pPr>
        <w:spacing w:after="120" w:line="259" w:lineRule="auto"/>
        <w:jc w:val="left"/>
        <w:rPr>
          <w:rFonts w:ascii="Times New Roman" w:hAnsi="Times New Roman" w:cs="Times New Roman"/>
        </w:rPr>
      </w:pPr>
      <w:r>
        <w:rPr>
          <w:rFonts w:ascii="Times New Roman" w:hAnsi="Times New Roman" w:cs="Times New Roman"/>
        </w:rPr>
        <w:t>Rent and other tenant payments will be processed based on the following procedures.</w:t>
      </w:r>
    </w:p>
    <w:p w14:paraId="4C4E903D" w14:textId="17847E06" w:rsidR="008D0E09" w:rsidRDefault="008D0E09" w:rsidP="008D0E09">
      <w:pPr>
        <w:pStyle w:val="BodyT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59" w:lineRule="auto"/>
        <w:ind w:left="720"/>
        <w:rPr>
          <w:rFonts w:eastAsiaTheme="minorHAnsi"/>
          <w:b w:val="0"/>
          <w:color w:val="auto"/>
          <w:sz w:val="22"/>
          <w:szCs w:val="22"/>
        </w:rPr>
      </w:pPr>
      <w:r>
        <w:rPr>
          <w:rFonts w:eastAsiaTheme="minorHAnsi"/>
          <w:b w:val="0"/>
          <w:color w:val="auto"/>
          <w:sz w:val="22"/>
          <w:szCs w:val="22"/>
        </w:rPr>
        <w:t xml:space="preserve">Rents and other tenant payments will be received at </w:t>
      </w:r>
      <w:r w:rsidR="0090629F">
        <w:rPr>
          <w:rFonts w:eastAsiaTheme="minorHAnsi"/>
          <w:b w:val="0"/>
          <w:color w:val="auto"/>
          <w:sz w:val="22"/>
          <w:szCs w:val="22"/>
        </w:rPr>
        <w:t xml:space="preserve">Forcht Bank </w:t>
      </w:r>
      <w:r>
        <w:rPr>
          <w:rFonts w:eastAsiaTheme="minorHAnsi"/>
          <w:b w:val="0"/>
          <w:color w:val="auto"/>
          <w:sz w:val="22"/>
          <w:szCs w:val="22"/>
        </w:rPr>
        <w:t xml:space="preserve">rather than the </w:t>
      </w:r>
      <w:r w:rsidR="0090629F">
        <w:rPr>
          <w:rFonts w:eastAsiaTheme="minorHAnsi"/>
          <w:b w:val="0"/>
          <w:color w:val="auto"/>
          <w:sz w:val="22"/>
          <w:szCs w:val="22"/>
        </w:rPr>
        <w:t>main</w:t>
      </w:r>
      <w:r>
        <w:rPr>
          <w:rFonts w:eastAsiaTheme="minorHAnsi"/>
          <w:b w:val="0"/>
          <w:color w:val="auto"/>
          <w:sz w:val="22"/>
          <w:szCs w:val="22"/>
        </w:rPr>
        <w:t xml:space="preserve"> office.</w:t>
      </w:r>
      <w:r w:rsidR="0090629F">
        <w:rPr>
          <w:rFonts w:eastAsiaTheme="minorHAnsi"/>
          <w:b w:val="0"/>
          <w:color w:val="auto"/>
          <w:sz w:val="22"/>
          <w:szCs w:val="22"/>
        </w:rPr>
        <w:t xml:space="preserve"> Tenants may also pay online via their online portal.</w:t>
      </w:r>
    </w:p>
    <w:p w14:paraId="5FCD9A20" w14:textId="71196DC7" w:rsidR="0090629F" w:rsidRDefault="008D0E09" w:rsidP="008D0E09">
      <w:pPr>
        <w:pStyle w:val="BodyT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59" w:lineRule="auto"/>
        <w:ind w:left="720"/>
        <w:rPr>
          <w:rFonts w:eastAsiaTheme="minorHAnsi"/>
          <w:b w:val="0"/>
          <w:color w:val="auto"/>
          <w:sz w:val="22"/>
          <w:szCs w:val="22"/>
        </w:rPr>
      </w:pPr>
      <w:r w:rsidRPr="0090629F">
        <w:rPr>
          <w:rFonts w:eastAsiaTheme="minorHAnsi"/>
          <w:b w:val="0"/>
          <w:color w:val="auto"/>
          <w:sz w:val="22"/>
          <w:szCs w:val="22"/>
        </w:rPr>
        <w:t>A</w:t>
      </w:r>
      <w:r w:rsidR="0090629F">
        <w:rPr>
          <w:rFonts w:eastAsiaTheme="minorHAnsi"/>
          <w:b w:val="0"/>
          <w:color w:val="auto"/>
          <w:sz w:val="22"/>
          <w:szCs w:val="22"/>
        </w:rPr>
        <w:t xml:space="preserve">n account </w:t>
      </w:r>
      <w:r w:rsidR="0090629F" w:rsidRPr="0090629F">
        <w:rPr>
          <w:rFonts w:eastAsiaTheme="minorHAnsi"/>
          <w:b w:val="0"/>
          <w:color w:val="auto"/>
          <w:sz w:val="22"/>
          <w:szCs w:val="22"/>
        </w:rPr>
        <w:t xml:space="preserve">statement must </w:t>
      </w:r>
      <w:r w:rsidRPr="0090629F">
        <w:rPr>
          <w:rFonts w:eastAsiaTheme="minorHAnsi"/>
          <w:b w:val="0"/>
          <w:color w:val="auto"/>
          <w:sz w:val="22"/>
          <w:szCs w:val="22"/>
        </w:rPr>
        <w:t xml:space="preserve">be utilized.  </w:t>
      </w:r>
    </w:p>
    <w:p w14:paraId="10CB5B85" w14:textId="3C6657C3" w:rsidR="008D0E09" w:rsidRPr="0090629F" w:rsidRDefault="008D0E09" w:rsidP="008D0E09">
      <w:pPr>
        <w:pStyle w:val="BodyT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59" w:lineRule="auto"/>
        <w:ind w:left="720"/>
        <w:rPr>
          <w:rFonts w:eastAsiaTheme="minorHAnsi"/>
          <w:b w:val="0"/>
          <w:color w:val="auto"/>
          <w:sz w:val="22"/>
          <w:szCs w:val="22"/>
        </w:rPr>
      </w:pPr>
      <w:r w:rsidRPr="0090629F">
        <w:rPr>
          <w:rFonts w:eastAsiaTheme="minorHAnsi"/>
          <w:b w:val="0"/>
          <w:color w:val="auto"/>
          <w:sz w:val="22"/>
          <w:szCs w:val="22"/>
        </w:rPr>
        <w:t xml:space="preserve">A </w:t>
      </w:r>
      <w:r w:rsidR="0090629F">
        <w:rPr>
          <w:rFonts w:eastAsiaTheme="minorHAnsi"/>
          <w:b w:val="0"/>
          <w:color w:val="auto"/>
          <w:sz w:val="22"/>
          <w:szCs w:val="22"/>
        </w:rPr>
        <w:t>bank</w:t>
      </w:r>
      <w:r w:rsidRPr="0090629F">
        <w:rPr>
          <w:rFonts w:eastAsiaTheme="minorHAnsi"/>
          <w:b w:val="0"/>
          <w:color w:val="auto"/>
          <w:sz w:val="22"/>
          <w:szCs w:val="22"/>
        </w:rPr>
        <w:t xml:space="preserve"> person will write a payment receipt for the tenant rent when payment is provided by the tenant.  </w:t>
      </w:r>
    </w:p>
    <w:p w14:paraId="6482AC98" w14:textId="520A410A" w:rsidR="008D0E09" w:rsidRPr="00D07844" w:rsidRDefault="0090629F" w:rsidP="008D0E09">
      <w:pPr>
        <w:pStyle w:val="BodyT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59" w:lineRule="auto"/>
        <w:ind w:left="720"/>
        <w:rPr>
          <w:rFonts w:eastAsiaTheme="minorHAnsi"/>
          <w:b w:val="0"/>
          <w:color w:val="auto"/>
          <w:sz w:val="22"/>
          <w:szCs w:val="22"/>
        </w:rPr>
      </w:pPr>
      <w:r>
        <w:rPr>
          <w:rFonts w:eastAsiaTheme="minorHAnsi"/>
          <w:b w:val="0"/>
          <w:color w:val="auto"/>
          <w:sz w:val="22"/>
          <w:szCs w:val="22"/>
        </w:rPr>
        <w:t>P</w:t>
      </w:r>
      <w:r w:rsidR="008D0E09" w:rsidRPr="00D07844">
        <w:rPr>
          <w:rFonts w:eastAsiaTheme="minorHAnsi"/>
          <w:b w:val="0"/>
          <w:color w:val="auto"/>
          <w:sz w:val="22"/>
          <w:szCs w:val="22"/>
        </w:rPr>
        <w:t>ayment receipts</w:t>
      </w:r>
      <w:r>
        <w:rPr>
          <w:rFonts w:eastAsiaTheme="minorHAnsi"/>
          <w:b w:val="0"/>
          <w:color w:val="auto"/>
          <w:sz w:val="22"/>
          <w:szCs w:val="22"/>
        </w:rPr>
        <w:t xml:space="preserve"> will be sent the Housing Authority main office. Payment receipts </w:t>
      </w:r>
      <w:r w:rsidR="008D0E09" w:rsidRPr="00D07844">
        <w:rPr>
          <w:rFonts w:eastAsiaTheme="minorHAnsi"/>
          <w:b w:val="0"/>
          <w:color w:val="auto"/>
          <w:sz w:val="22"/>
          <w:szCs w:val="22"/>
        </w:rPr>
        <w:t>should be entered into the software system the same day they are received.</w:t>
      </w:r>
    </w:p>
    <w:p w14:paraId="7C051161" w14:textId="79DFAFE4" w:rsidR="008D0E09" w:rsidRDefault="008D0E09" w:rsidP="008D0E09">
      <w:pPr>
        <w:pStyle w:val="BodyT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59" w:lineRule="auto"/>
        <w:ind w:left="720"/>
        <w:rPr>
          <w:rFonts w:eastAsiaTheme="minorHAnsi"/>
          <w:b w:val="0"/>
          <w:color w:val="auto"/>
          <w:sz w:val="22"/>
          <w:szCs w:val="22"/>
        </w:rPr>
      </w:pPr>
      <w:r>
        <w:rPr>
          <w:rFonts w:eastAsiaTheme="minorHAnsi"/>
          <w:b w:val="0"/>
          <w:color w:val="auto"/>
          <w:sz w:val="22"/>
          <w:szCs w:val="22"/>
        </w:rPr>
        <w:t xml:space="preserve">A deposit slip </w:t>
      </w:r>
      <w:r w:rsidR="0090629F">
        <w:rPr>
          <w:rFonts w:eastAsiaTheme="minorHAnsi"/>
          <w:b w:val="0"/>
          <w:color w:val="auto"/>
          <w:sz w:val="22"/>
          <w:szCs w:val="22"/>
        </w:rPr>
        <w:t xml:space="preserve">will be </w:t>
      </w:r>
      <w:r>
        <w:rPr>
          <w:rFonts w:eastAsiaTheme="minorHAnsi"/>
          <w:b w:val="0"/>
          <w:color w:val="auto"/>
          <w:sz w:val="22"/>
          <w:szCs w:val="22"/>
        </w:rPr>
        <w:t>completed listing all payment receipts and amounts</w:t>
      </w:r>
      <w:r w:rsidR="0090629F">
        <w:rPr>
          <w:rFonts w:eastAsiaTheme="minorHAnsi"/>
          <w:b w:val="0"/>
          <w:color w:val="auto"/>
          <w:sz w:val="22"/>
          <w:szCs w:val="22"/>
        </w:rPr>
        <w:t xml:space="preserve"> and sent to the HA by the bank.</w:t>
      </w:r>
    </w:p>
    <w:p w14:paraId="42CA122D" w14:textId="77777777" w:rsidR="008D0E09" w:rsidRDefault="008D0E09" w:rsidP="008D0E09">
      <w:pPr>
        <w:pStyle w:val="BodyText"/>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59" w:lineRule="auto"/>
        <w:ind w:left="1440"/>
        <w:rPr>
          <w:rFonts w:eastAsiaTheme="minorHAnsi"/>
          <w:b w:val="0"/>
          <w:color w:val="auto"/>
          <w:sz w:val="22"/>
          <w:szCs w:val="22"/>
        </w:rPr>
      </w:pPr>
      <w:r>
        <w:rPr>
          <w:rFonts w:eastAsiaTheme="minorHAnsi"/>
          <w:b w:val="0"/>
          <w:color w:val="auto"/>
          <w:sz w:val="22"/>
          <w:szCs w:val="22"/>
        </w:rPr>
        <w:t>Deposits should be separated between tenant receivable collections and other revenues such as laundry money or vendor refunds.</w:t>
      </w:r>
    </w:p>
    <w:p w14:paraId="5D28336B" w14:textId="580FEAED" w:rsidR="008D0E09" w:rsidRDefault="008D0E09" w:rsidP="008D0E09">
      <w:pPr>
        <w:pStyle w:val="BodyText"/>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59" w:lineRule="auto"/>
        <w:ind w:left="1440"/>
        <w:rPr>
          <w:rFonts w:eastAsiaTheme="minorHAnsi"/>
          <w:b w:val="0"/>
          <w:color w:val="auto"/>
          <w:sz w:val="22"/>
          <w:szCs w:val="22"/>
        </w:rPr>
      </w:pPr>
      <w:r w:rsidRPr="00A11A99">
        <w:rPr>
          <w:rFonts w:eastAsiaTheme="minorHAnsi"/>
          <w:b w:val="0"/>
          <w:color w:val="auto"/>
          <w:sz w:val="22"/>
          <w:szCs w:val="22"/>
        </w:rPr>
        <w:t xml:space="preserve">The amount of the daily deposit slip should match the amount </w:t>
      </w:r>
      <w:r w:rsidR="0090629F" w:rsidRPr="00A11A99">
        <w:rPr>
          <w:rFonts w:eastAsiaTheme="minorHAnsi"/>
          <w:b w:val="0"/>
          <w:color w:val="auto"/>
          <w:sz w:val="22"/>
          <w:szCs w:val="22"/>
        </w:rPr>
        <w:t>entere</w:t>
      </w:r>
      <w:r w:rsidR="0090629F">
        <w:rPr>
          <w:rFonts w:eastAsiaTheme="minorHAnsi"/>
          <w:b w:val="0"/>
          <w:color w:val="auto"/>
          <w:sz w:val="22"/>
          <w:szCs w:val="22"/>
        </w:rPr>
        <w:t xml:space="preserve">d in </w:t>
      </w:r>
      <w:r>
        <w:rPr>
          <w:rFonts w:eastAsiaTheme="minorHAnsi"/>
          <w:b w:val="0"/>
          <w:color w:val="auto"/>
          <w:sz w:val="22"/>
          <w:szCs w:val="22"/>
        </w:rPr>
        <w:t>the software system for the day.</w:t>
      </w:r>
    </w:p>
    <w:p w14:paraId="6A497F5D" w14:textId="77777777" w:rsidR="008D0E09" w:rsidRDefault="008D0E09" w:rsidP="008D0E09">
      <w:pPr>
        <w:pStyle w:val="BodyText"/>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59" w:lineRule="auto"/>
        <w:ind w:left="1440"/>
        <w:rPr>
          <w:rFonts w:eastAsiaTheme="minorHAnsi"/>
          <w:b w:val="0"/>
          <w:color w:val="auto"/>
          <w:sz w:val="22"/>
          <w:szCs w:val="22"/>
        </w:rPr>
      </w:pPr>
      <w:r>
        <w:rPr>
          <w:rFonts w:eastAsiaTheme="minorHAnsi"/>
          <w:b w:val="0"/>
          <w:color w:val="auto"/>
          <w:sz w:val="22"/>
          <w:szCs w:val="22"/>
        </w:rPr>
        <w:t>A daily rent collection report will be printed from the software system that matches the bank deposit and will be attached to the deposit slip.</w:t>
      </w:r>
    </w:p>
    <w:p w14:paraId="66CB752C" w14:textId="77777777" w:rsidR="008D0E09" w:rsidRDefault="008D0E09" w:rsidP="008D0E09">
      <w:pPr>
        <w:pStyle w:val="BodyText"/>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40" w:line="259" w:lineRule="auto"/>
        <w:ind w:left="720"/>
        <w:rPr>
          <w:rFonts w:eastAsiaTheme="minorHAnsi"/>
          <w:b w:val="0"/>
          <w:color w:val="auto"/>
          <w:sz w:val="22"/>
          <w:szCs w:val="22"/>
        </w:rPr>
      </w:pPr>
      <w:r w:rsidRPr="00D07844">
        <w:rPr>
          <w:rFonts w:eastAsiaTheme="minorHAnsi"/>
          <w:b w:val="0"/>
          <w:color w:val="auto"/>
          <w:sz w:val="22"/>
          <w:szCs w:val="22"/>
        </w:rPr>
        <w:t>The PHA will deposit all payments received on the same business day.  That is, the PHA will not delay depositing a check at the request of a tenant, until funds are available</w:t>
      </w:r>
      <w:r>
        <w:rPr>
          <w:rFonts w:eastAsiaTheme="minorHAnsi"/>
          <w:b w:val="0"/>
          <w:color w:val="auto"/>
          <w:sz w:val="22"/>
          <w:szCs w:val="22"/>
        </w:rPr>
        <w:t>.</w:t>
      </w:r>
    </w:p>
    <w:p w14:paraId="265B06C2" w14:textId="77777777" w:rsidR="008D0E09" w:rsidRPr="00924EAE" w:rsidRDefault="008D0E09" w:rsidP="008D0E09">
      <w:pPr>
        <w:pStyle w:val="Heading3"/>
      </w:pPr>
      <w:r w:rsidRPr="00924EAE">
        <w:t>Rent Collection Reconciliation and Monitoring</w:t>
      </w:r>
    </w:p>
    <w:p w14:paraId="0D1EF7ED" w14:textId="77777777" w:rsidR="008D0E09" w:rsidRPr="00E944BA" w:rsidRDefault="008D0E09" w:rsidP="008D0E09">
      <w:pPr>
        <w:spacing w:after="120" w:line="259" w:lineRule="auto"/>
        <w:jc w:val="left"/>
        <w:rPr>
          <w:rFonts w:ascii="Times New Roman" w:hAnsi="Times New Roman" w:cs="Times New Roman"/>
        </w:rPr>
      </w:pPr>
      <w:r w:rsidRPr="00E944BA">
        <w:rPr>
          <w:rFonts w:ascii="Times New Roman" w:hAnsi="Times New Roman" w:cs="Times New Roman"/>
        </w:rPr>
        <w:t>The PHA will follow the rent collection reconciliation and monitoring procedures outlined below.</w:t>
      </w:r>
    </w:p>
    <w:p w14:paraId="781A0275" w14:textId="77777777" w:rsidR="008D0E09" w:rsidRDefault="008D0E09" w:rsidP="008D0E09">
      <w:pPr>
        <w:pStyle w:val="BodyText"/>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59" w:lineRule="auto"/>
        <w:ind w:left="720"/>
        <w:rPr>
          <w:rFonts w:eastAsiaTheme="minorHAnsi"/>
          <w:b w:val="0"/>
          <w:color w:val="auto"/>
          <w:sz w:val="22"/>
          <w:szCs w:val="22"/>
        </w:rPr>
      </w:pPr>
      <w:r w:rsidRPr="00640570">
        <w:rPr>
          <w:rFonts w:eastAsiaTheme="minorHAnsi"/>
          <w:b w:val="0"/>
          <w:color w:val="auto"/>
          <w:sz w:val="22"/>
          <w:szCs w:val="22"/>
        </w:rPr>
        <w:t xml:space="preserve">During the monthly reconciliation process, total cash receipts as reported in the software system will be compared to the </w:t>
      </w:r>
      <w:r>
        <w:rPr>
          <w:rFonts w:eastAsiaTheme="minorHAnsi"/>
          <w:b w:val="0"/>
          <w:color w:val="auto"/>
          <w:sz w:val="22"/>
          <w:szCs w:val="22"/>
        </w:rPr>
        <w:t>actual deposits</w:t>
      </w:r>
      <w:r w:rsidRPr="00640570">
        <w:rPr>
          <w:rFonts w:eastAsiaTheme="minorHAnsi"/>
          <w:b w:val="0"/>
          <w:color w:val="auto"/>
          <w:sz w:val="22"/>
          <w:szCs w:val="22"/>
        </w:rPr>
        <w:t xml:space="preserve"> for accuracy and completeness.</w:t>
      </w:r>
      <w:r>
        <w:rPr>
          <w:rFonts w:eastAsiaTheme="minorHAnsi"/>
          <w:b w:val="0"/>
          <w:color w:val="auto"/>
          <w:sz w:val="22"/>
          <w:szCs w:val="22"/>
        </w:rPr>
        <w:t xml:space="preserve">  </w:t>
      </w:r>
      <w:r w:rsidRPr="00640570">
        <w:rPr>
          <w:rFonts w:eastAsiaTheme="minorHAnsi"/>
          <w:b w:val="0"/>
          <w:color w:val="auto"/>
          <w:sz w:val="22"/>
          <w:szCs w:val="22"/>
        </w:rPr>
        <w:t xml:space="preserve">If the amounts do not match, the </w:t>
      </w:r>
      <w:r>
        <w:rPr>
          <w:rFonts w:eastAsiaTheme="minorHAnsi"/>
          <w:b w:val="0"/>
          <w:color w:val="auto"/>
          <w:sz w:val="22"/>
          <w:szCs w:val="22"/>
        </w:rPr>
        <w:t>staff acco</w:t>
      </w:r>
      <w:r w:rsidRPr="00640570">
        <w:rPr>
          <w:rFonts w:eastAsiaTheme="minorHAnsi"/>
          <w:b w:val="0"/>
          <w:color w:val="auto"/>
          <w:sz w:val="22"/>
          <w:szCs w:val="22"/>
        </w:rPr>
        <w:t>untant</w:t>
      </w:r>
      <w:r>
        <w:rPr>
          <w:rFonts w:eastAsiaTheme="minorHAnsi"/>
          <w:b w:val="0"/>
          <w:color w:val="auto"/>
          <w:sz w:val="22"/>
          <w:szCs w:val="22"/>
        </w:rPr>
        <w:t xml:space="preserve"> </w:t>
      </w:r>
      <w:r w:rsidRPr="00640570">
        <w:rPr>
          <w:rFonts w:eastAsiaTheme="minorHAnsi"/>
          <w:b w:val="0"/>
          <w:color w:val="auto"/>
          <w:sz w:val="22"/>
          <w:szCs w:val="22"/>
        </w:rPr>
        <w:t xml:space="preserve">will </w:t>
      </w:r>
      <w:r>
        <w:rPr>
          <w:rFonts w:eastAsiaTheme="minorHAnsi"/>
          <w:b w:val="0"/>
          <w:color w:val="auto"/>
          <w:sz w:val="22"/>
          <w:szCs w:val="22"/>
        </w:rPr>
        <w:t xml:space="preserve">research the </w:t>
      </w:r>
      <w:r w:rsidRPr="00640570">
        <w:rPr>
          <w:rFonts w:eastAsiaTheme="minorHAnsi"/>
          <w:b w:val="0"/>
          <w:color w:val="auto"/>
          <w:sz w:val="22"/>
          <w:szCs w:val="22"/>
        </w:rPr>
        <w:t>discrepancies and reconcile the two amounts.</w:t>
      </w:r>
    </w:p>
    <w:p w14:paraId="77473A42" w14:textId="77777777" w:rsidR="008D0E09" w:rsidRDefault="008D0E09" w:rsidP="008D0E09">
      <w:pPr>
        <w:pStyle w:val="BodyText"/>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59" w:lineRule="auto"/>
        <w:ind w:left="720"/>
        <w:rPr>
          <w:rFonts w:eastAsiaTheme="minorHAnsi"/>
          <w:b w:val="0"/>
          <w:color w:val="auto"/>
          <w:sz w:val="22"/>
          <w:szCs w:val="22"/>
        </w:rPr>
      </w:pPr>
      <w:r>
        <w:rPr>
          <w:rFonts w:eastAsiaTheme="minorHAnsi"/>
          <w:b w:val="0"/>
          <w:color w:val="auto"/>
          <w:sz w:val="22"/>
          <w:szCs w:val="22"/>
        </w:rPr>
        <w:t>As part of the monitoring process, a past due report should be printed from the software system and the project manager / program director will review outstanding balances to ensure that all rents have been posted and that outstanding balances have been addressed.</w:t>
      </w:r>
    </w:p>
    <w:p w14:paraId="0292FB34" w14:textId="259D372B" w:rsidR="008D0E09" w:rsidRPr="00E944BA" w:rsidRDefault="008D0E09" w:rsidP="008D0E09">
      <w:pPr>
        <w:pStyle w:val="BodyText"/>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59" w:lineRule="auto"/>
        <w:ind w:left="720"/>
        <w:rPr>
          <w:rFonts w:eastAsiaTheme="minorHAnsi"/>
          <w:b w:val="0"/>
          <w:color w:val="auto"/>
          <w:sz w:val="22"/>
          <w:szCs w:val="22"/>
        </w:rPr>
      </w:pPr>
      <w:r>
        <w:rPr>
          <w:rFonts w:eastAsiaTheme="minorHAnsi"/>
          <w:b w:val="0"/>
          <w:color w:val="auto"/>
          <w:sz w:val="22"/>
          <w:szCs w:val="22"/>
        </w:rPr>
        <w:t xml:space="preserve">Monthly, the </w:t>
      </w:r>
      <w:r w:rsidR="0090629F">
        <w:rPr>
          <w:rFonts w:eastAsiaTheme="minorHAnsi"/>
          <w:b w:val="0"/>
          <w:color w:val="auto"/>
          <w:sz w:val="22"/>
          <w:szCs w:val="22"/>
        </w:rPr>
        <w:t>D</w:t>
      </w:r>
      <w:r>
        <w:rPr>
          <w:rFonts w:eastAsiaTheme="minorHAnsi"/>
          <w:b w:val="0"/>
          <w:color w:val="auto"/>
          <w:sz w:val="22"/>
          <w:szCs w:val="22"/>
        </w:rPr>
        <w:t>irector will review the bank statements to confirm that deposits match the total cash received as reported in the general ledger and that deposits are made timely.</w:t>
      </w:r>
    </w:p>
    <w:p w14:paraId="1D57F433" w14:textId="524012EE" w:rsidR="008D0E09" w:rsidRDefault="008D0E09">
      <w:pPr>
        <w:rPr>
          <w:rFonts w:ascii="Calibri" w:hAnsi="Calibri" w:cs="Calibri"/>
          <w:b/>
          <w:bCs/>
        </w:rPr>
      </w:pPr>
    </w:p>
    <w:p w14:paraId="0509479C" w14:textId="77777777" w:rsidR="008D0E09" w:rsidRPr="008D0E09" w:rsidRDefault="008D0E09">
      <w:pPr>
        <w:rPr>
          <w:rFonts w:ascii="Calibri" w:hAnsi="Calibri" w:cs="Calibri"/>
          <w:b/>
          <w:bCs/>
        </w:rPr>
      </w:pPr>
    </w:p>
    <w:sectPr w:rsidR="008D0E09" w:rsidRPr="008D0E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14F0" w14:textId="77777777" w:rsidR="008D0E09" w:rsidRDefault="008D0E09" w:rsidP="008D0E09">
      <w:pPr>
        <w:spacing w:line="240" w:lineRule="auto"/>
      </w:pPr>
      <w:r>
        <w:separator/>
      </w:r>
    </w:p>
  </w:endnote>
  <w:endnote w:type="continuationSeparator" w:id="0">
    <w:p w14:paraId="62F4DD6F" w14:textId="77777777" w:rsidR="008D0E09" w:rsidRDefault="008D0E09" w:rsidP="008D0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C74C" w14:textId="77777777" w:rsidR="008D0E09" w:rsidRDefault="008D0E09" w:rsidP="008D0E09">
      <w:pPr>
        <w:spacing w:line="240" w:lineRule="auto"/>
      </w:pPr>
      <w:r>
        <w:separator/>
      </w:r>
    </w:p>
  </w:footnote>
  <w:footnote w:type="continuationSeparator" w:id="0">
    <w:p w14:paraId="689D5884" w14:textId="77777777" w:rsidR="008D0E09" w:rsidRDefault="008D0E09" w:rsidP="008D0E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E37BF"/>
    <w:multiLevelType w:val="hybridMultilevel"/>
    <w:tmpl w:val="4AA03292"/>
    <w:lvl w:ilvl="0" w:tplc="8400983E">
      <w:start w:val="1"/>
      <w:numFmt w:val="bullet"/>
      <w:lvlText w:val=""/>
      <w:lvlJc w:val="left"/>
      <w:pPr>
        <w:ind w:left="360" w:hanging="360"/>
      </w:pPr>
      <w:rPr>
        <w:rFonts w:ascii="Symbol" w:hAnsi="Symbol" w:hint="default"/>
        <w:b w:val="0"/>
      </w:rPr>
    </w:lvl>
    <w:lvl w:ilvl="1" w:tplc="C4AA2A6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14070B"/>
    <w:multiLevelType w:val="hybridMultilevel"/>
    <w:tmpl w:val="AD4CC154"/>
    <w:lvl w:ilvl="0" w:tplc="8400983E">
      <w:start w:val="1"/>
      <w:numFmt w:val="bullet"/>
      <w:lvlText w:val=""/>
      <w:lvlJc w:val="left"/>
      <w:pPr>
        <w:ind w:left="360" w:hanging="360"/>
      </w:pPr>
      <w:rPr>
        <w:rFonts w:ascii="Symbol" w:hAnsi="Symbol" w:hint="default"/>
        <w:b w:val="0"/>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F95393"/>
    <w:multiLevelType w:val="hybridMultilevel"/>
    <w:tmpl w:val="D58AB442"/>
    <w:lvl w:ilvl="0" w:tplc="8400983E">
      <w:start w:val="1"/>
      <w:numFmt w:val="bullet"/>
      <w:lvlText w:val=""/>
      <w:lvlJc w:val="left"/>
      <w:pPr>
        <w:ind w:left="360" w:hanging="360"/>
      </w:pPr>
      <w:rPr>
        <w:rFonts w:ascii="Symbol" w:hAnsi="Symbol" w:hint="default"/>
        <w:b w:val="0"/>
      </w:rPr>
    </w:lvl>
    <w:lvl w:ilvl="1" w:tplc="C4AA2A6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7C6455"/>
    <w:multiLevelType w:val="hybridMultilevel"/>
    <w:tmpl w:val="ADDC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D0A13"/>
    <w:multiLevelType w:val="hybridMultilevel"/>
    <w:tmpl w:val="769A736C"/>
    <w:lvl w:ilvl="0" w:tplc="8400983E">
      <w:start w:val="1"/>
      <w:numFmt w:val="bullet"/>
      <w:lvlText w:val=""/>
      <w:lvlJc w:val="left"/>
      <w:pPr>
        <w:ind w:left="360" w:hanging="360"/>
      </w:pPr>
      <w:rPr>
        <w:rFonts w:ascii="Symbol" w:hAnsi="Symbol" w:hint="default"/>
        <w:b w:val="0"/>
      </w:rPr>
    </w:lvl>
    <w:lvl w:ilvl="1" w:tplc="C4AA2A6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C46940"/>
    <w:multiLevelType w:val="hybridMultilevel"/>
    <w:tmpl w:val="2C22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935228">
    <w:abstractNumId w:val="4"/>
  </w:num>
  <w:num w:numId="2" w16cid:durableId="2093895230">
    <w:abstractNumId w:val="0"/>
  </w:num>
  <w:num w:numId="3" w16cid:durableId="1810636250">
    <w:abstractNumId w:val="2"/>
  </w:num>
  <w:num w:numId="4" w16cid:durableId="1533149328">
    <w:abstractNumId w:val="3"/>
  </w:num>
  <w:num w:numId="5" w16cid:durableId="919950554">
    <w:abstractNumId w:val="5"/>
  </w:num>
  <w:num w:numId="6" w16cid:durableId="1941377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09"/>
    <w:rsid w:val="000818F2"/>
    <w:rsid w:val="008D0E09"/>
    <w:rsid w:val="0090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314A"/>
  <w15:chartTrackingRefBased/>
  <w15:docId w15:val="{217642B4-C091-0C48-B89D-6ED1D139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E09"/>
    <w:pPr>
      <w:spacing w:line="276" w:lineRule="auto"/>
      <w:jc w:val="center"/>
    </w:pPr>
    <w:rPr>
      <w:sz w:val="22"/>
      <w:szCs w:val="22"/>
    </w:rPr>
  </w:style>
  <w:style w:type="paragraph" w:styleId="Heading2">
    <w:name w:val="heading 2"/>
    <w:basedOn w:val="Normal"/>
    <w:next w:val="Normal"/>
    <w:link w:val="Heading2Char"/>
    <w:uiPriority w:val="9"/>
    <w:unhideWhenUsed/>
    <w:qFormat/>
    <w:rsid w:val="008D0E09"/>
    <w:pPr>
      <w:keepNext/>
      <w:keepLines/>
      <w:spacing w:before="200"/>
      <w:jc w:val="left"/>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D0E09"/>
    <w:pPr>
      <w:spacing w:after="120" w:line="259" w:lineRule="auto"/>
      <w:jc w:val="left"/>
      <w:outlineLvl w:val="2"/>
    </w:pPr>
    <w:rPr>
      <w:rFonts w:ascii="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E09"/>
    <w:pPr>
      <w:tabs>
        <w:tab w:val="center" w:pos="4680"/>
        <w:tab w:val="right" w:pos="9360"/>
      </w:tabs>
    </w:pPr>
  </w:style>
  <w:style w:type="character" w:customStyle="1" w:styleId="HeaderChar">
    <w:name w:val="Header Char"/>
    <w:basedOn w:val="DefaultParagraphFont"/>
    <w:link w:val="Header"/>
    <w:uiPriority w:val="99"/>
    <w:rsid w:val="008D0E09"/>
  </w:style>
  <w:style w:type="paragraph" w:styleId="Footer">
    <w:name w:val="footer"/>
    <w:basedOn w:val="Normal"/>
    <w:link w:val="FooterChar"/>
    <w:uiPriority w:val="99"/>
    <w:unhideWhenUsed/>
    <w:rsid w:val="008D0E09"/>
    <w:pPr>
      <w:tabs>
        <w:tab w:val="center" w:pos="4680"/>
        <w:tab w:val="right" w:pos="9360"/>
      </w:tabs>
    </w:pPr>
  </w:style>
  <w:style w:type="character" w:customStyle="1" w:styleId="FooterChar">
    <w:name w:val="Footer Char"/>
    <w:basedOn w:val="DefaultParagraphFont"/>
    <w:link w:val="Footer"/>
    <w:uiPriority w:val="99"/>
    <w:rsid w:val="008D0E09"/>
  </w:style>
  <w:style w:type="character" w:customStyle="1" w:styleId="Heading2Char">
    <w:name w:val="Heading 2 Char"/>
    <w:basedOn w:val="DefaultParagraphFont"/>
    <w:link w:val="Heading2"/>
    <w:uiPriority w:val="9"/>
    <w:rsid w:val="008D0E0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D0E09"/>
    <w:rPr>
      <w:rFonts w:ascii="Times New Roman" w:hAnsi="Times New Roman" w:cs="Times New Roman"/>
      <w:b/>
      <w:sz w:val="22"/>
      <w:szCs w:val="22"/>
      <w:u w:val="single"/>
    </w:rPr>
  </w:style>
  <w:style w:type="paragraph" w:styleId="ListParagraph">
    <w:name w:val="List Paragraph"/>
    <w:basedOn w:val="Normal"/>
    <w:uiPriority w:val="34"/>
    <w:qFormat/>
    <w:rsid w:val="008D0E09"/>
    <w:pPr>
      <w:spacing w:after="200"/>
      <w:ind w:left="720"/>
      <w:contextualSpacing/>
      <w:jc w:val="left"/>
    </w:pPr>
  </w:style>
  <w:style w:type="paragraph" w:styleId="BodyText">
    <w:name w:val="Body Text"/>
    <w:basedOn w:val="Normal"/>
    <w:link w:val="BodyTextChar"/>
    <w:rsid w:val="008D0E09"/>
    <w:pPr>
      <w:keepLines/>
      <w:tabs>
        <w:tab w:val="left" w:pos="-720"/>
      </w:tabs>
      <w:spacing w:line="240" w:lineRule="auto"/>
      <w:jc w:val="left"/>
    </w:pPr>
    <w:rPr>
      <w:rFonts w:ascii="Times New Roman" w:eastAsia="Times New Roman" w:hAnsi="Times New Roman" w:cs="Times New Roman"/>
      <w:b/>
      <w:color w:val="000000"/>
      <w:sz w:val="24"/>
      <w:szCs w:val="20"/>
    </w:rPr>
  </w:style>
  <w:style w:type="character" w:customStyle="1" w:styleId="BodyTextChar">
    <w:name w:val="Body Text Char"/>
    <w:basedOn w:val="DefaultParagraphFont"/>
    <w:link w:val="BodyText"/>
    <w:rsid w:val="008D0E09"/>
    <w:rPr>
      <w:rFonts w:ascii="Times New Roman" w:eastAsia="Times New Roman" w:hAnsi="Times New Roman" w:cs="Times New Roman"/>
      <w:b/>
      <w:color w:val="000000"/>
      <w:szCs w:val="20"/>
    </w:rPr>
  </w:style>
  <w:style w:type="paragraph" w:customStyle="1" w:styleId="Heading1A">
    <w:name w:val="Heading 1A"/>
    <w:basedOn w:val="Normal"/>
    <w:qFormat/>
    <w:rsid w:val="008D0E09"/>
    <w:pPr>
      <w:spacing w:after="360"/>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Dione Kinman</dc:creator>
  <cp:keywords/>
  <dc:description/>
  <cp:lastModifiedBy>Dione Kinman</cp:lastModifiedBy>
  <cp:revision>1</cp:revision>
  <dcterms:created xsi:type="dcterms:W3CDTF">2023-01-17T20:29:00Z</dcterms:created>
  <dcterms:modified xsi:type="dcterms:W3CDTF">2023-01-17T20:49:00Z</dcterms:modified>
</cp:coreProperties>
</file>